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74A5B">
      <w:pPr>
        <w:widowControl/>
        <w:shd w:val="clear" w:color="auto" w:fill="FFFFFF"/>
        <w:ind w:firstLine="792" w:firstLineChars="200"/>
        <w:jc w:val="center"/>
        <w:textAlignment w:val="baseline"/>
        <w:outlineLvl w:val="0"/>
      </w:pPr>
      <w:r>
        <w:rPr>
          <w:rFonts w:hint="eastAsia" w:ascii="方正小标宋_GBK" w:hAnsi="Segoe UI" w:eastAsia="方正小标宋_GBK" w:cs="Segoe UI"/>
          <w:bCs/>
          <w:spacing w:val="-2"/>
          <w:kern w:val="36"/>
          <w:sz w:val="40"/>
          <w:szCs w:val="28"/>
        </w:rPr>
        <w:t>综合面试考核维度及评分标准</w:t>
      </w: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3402"/>
        <w:gridCol w:w="7230"/>
        <w:gridCol w:w="1166"/>
      </w:tblGrid>
      <w:tr w14:paraId="71469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873758C">
            <w:pPr>
              <w:widowControl/>
              <w:jc w:val="center"/>
              <w:textAlignment w:val="baseline"/>
              <w:outlineLvl w:val="0"/>
              <w:rPr>
                <w:rFonts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14:paraId="12420A5E">
            <w:pPr>
              <w:widowControl/>
              <w:jc w:val="center"/>
              <w:textAlignment w:val="baseline"/>
              <w:outlineLvl w:val="0"/>
              <w:rPr>
                <w:rFonts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  <w:t>考核维度</w:t>
            </w:r>
          </w:p>
        </w:tc>
        <w:tc>
          <w:tcPr>
            <w:tcW w:w="3402" w:type="dxa"/>
          </w:tcPr>
          <w:p w14:paraId="70131D2B">
            <w:pPr>
              <w:widowControl/>
              <w:jc w:val="center"/>
              <w:textAlignment w:val="baseline"/>
              <w:outlineLvl w:val="0"/>
              <w:rPr>
                <w:rFonts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  <w:t>观察项</w:t>
            </w:r>
          </w:p>
        </w:tc>
        <w:tc>
          <w:tcPr>
            <w:tcW w:w="7230" w:type="dxa"/>
          </w:tcPr>
          <w:p w14:paraId="109AC99A">
            <w:pPr>
              <w:widowControl/>
              <w:jc w:val="center"/>
              <w:textAlignment w:val="baseline"/>
              <w:outlineLvl w:val="0"/>
              <w:rPr>
                <w:rFonts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  <w:t>评分标准</w:t>
            </w:r>
          </w:p>
        </w:tc>
        <w:tc>
          <w:tcPr>
            <w:tcW w:w="1166" w:type="dxa"/>
          </w:tcPr>
          <w:p w14:paraId="10789928">
            <w:pPr>
              <w:widowControl/>
              <w:jc w:val="center"/>
              <w:textAlignment w:val="baseline"/>
              <w:outlineLvl w:val="0"/>
              <w:rPr>
                <w:rFonts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bCs/>
                <w:spacing w:val="-2"/>
                <w:kern w:val="36"/>
                <w:sz w:val="28"/>
                <w:szCs w:val="28"/>
              </w:rPr>
              <w:t>得分</w:t>
            </w:r>
          </w:p>
        </w:tc>
      </w:tr>
      <w:tr w14:paraId="689D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17" w:type="dxa"/>
            <w:vMerge w:val="restart"/>
            <w:vAlign w:val="center"/>
          </w:tcPr>
          <w:p w14:paraId="0035735A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14:paraId="428D3B64">
            <w:pPr>
              <w:widowControl/>
              <w:shd w:val="clear" w:color="auto" w:fill="FFFFFF"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综合素质与行业洞察(20分)</w:t>
            </w:r>
          </w:p>
        </w:tc>
        <w:tc>
          <w:tcPr>
            <w:tcW w:w="3402" w:type="dxa"/>
            <w:vAlign w:val="center"/>
          </w:tcPr>
          <w:p w14:paraId="1A8ED8B5">
            <w:pPr>
              <w:widowControl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家国情怀与行业洞察（10分）</w:t>
            </w:r>
          </w:p>
        </w:tc>
        <w:tc>
          <w:tcPr>
            <w:tcW w:w="7230" w:type="dxa"/>
            <w:vAlign w:val="center"/>
          </w:tcPr>
          <w:p w14:paraId="58931038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考察学生对国家创新驱动发展战略的理解，以及对新型显示材料与消费电子领域的社会需求、市场挑战的认知程度</w:t>
            </w:r>
          </w:p>
        </w:tc>
        <w:tc>
          <w:tcPr>
            <w:tcW w:w="1166" w:type="dxa"/>
          </w:tcPr>
          <w:p w14:paraId="22B980B5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33DC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6" w:hRule="atLeast"/>
        </w:trPr>
        <w:tc>
          <w:tcPr>
            <w:tcW w:w="817" w:type="dxa"/>
            <w:vMerge w:val="continue"/>
            <w:vAlign w:val="center"/>
          </w:tcPr>
          <w:p w14:paraId="1B4C9CE2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</w:tcPr>
          <w:p w14:paraId="310E1C81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65B3FA8">
            <w:pPr>
              <w:widowControl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心理素质与沟通表达（10分）</w:t>
            </w:r>
          </w:p>
        </w:tc>
        <w:tc>
          <w:tcPr>
            <w:tcW w:w="7230" w:type="dxa"/>
            <w:vAlign w:val="center"/>
          </w:tcPr>
          <w:p w14:paraId="1E93ED81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评估学生的仪容仪表、情绪稳定性、抗压能力、语言表达的流畅性和逻辑性。</w:t>
            </w:r>
          </w:p>
        </w:tc>
        <w:tc>
          <w:tcPr>
            <w:tcW w:w="1166" w:type="dxa"/>
          </w:tcPr>
          <w:p w14:paraId="70DB9A5C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11FEE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17" w:type="dxa"/>
            <w:vMerge w:val="restart"/>
            <w:vAlign w:val="center"/>
          </w:tcPr>
          <w:p w14:paraId="7BAA4784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6CBCD51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创新思维与问题分析(30分)</w:t>
            </w:r>
          </w:p>
        </w:tc>
        <w:tc>
          <w:tcPr>
            <w:tcW w:w="3402" w:type="dxa"/>
            <w:vAlign w:val="center"/>
          </w:tcPr>
          <w:p w14:paraId="1F3B5029">
            <w:pPr>
              <w:widowControl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创新潜质与好奇心（15分）</w:t>
            </w:r>
          </w:p>
        </w:tc>
        <w:tc>
          <w:tcPr>
            <w:tcW w:w="7230" w:type="dxa"/>
            <w:vAlign w:val="center"/>
          </w:tcPr>
          <w:p w14:paraId="38918B92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通过学生对科技前沿、行业动态的了解，以及面对假设性问题或实际案例时，所表现出的探索精神、发散思维和提出新颖见解的能力</w:t>
            </w:r>
          </w:p>
        </w:tc>
        <w:tc>
          <w:tcPr>
            <w:tcW w:w="1166" w:type="dxa"/>
          </w:tcPr>
          <w:p w14:paraId="4F48BA33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1C9BA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17" w:type="dxa"/>
            <w:vMerge w:val="continue"/>
            <w:vAlign w:val="center"/>
          </w:tcPr>
          <w:p w14:paraId="45BF7A8C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</w:tcPr>
          <w:p w14:paraId="07989381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0D56625">
            <w:pPr>
              <w:widowControl/>
              <w:shd w:val="clear" w:color="auto" w:fill="FFFFFF"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分析问题与解决问题能力（15分）</w:t>
            </w:r>
          </w:p>
        </w:tc>
        <w:tc>
          <w:tcPr>
            <w:tcW w:w="7230" w:type="dxa"/>
            <w:vAlign w:val="center"/>
          </w:tcPr>
          <w:p w14:paraId="20896FD0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评估学生逻辑思维的严谨性，对复杂问题的拆解能力，以及解决方案的合理性和可行性</w:t>
            </w:r>
          </w:p>
        </w:tc>
        <w:tc>
          <w:tcPr>
            <w:tcW w:w="1166" w:type="dxa"/>
          </w:tcPr>
          <w:p w14:paraId="58F21BBC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5DD69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817" w:type="dxa"/>
            <w:vMerge w:val="restart"/>
            <w:vAlign w:val="center"/>
          </w:tcPr>
          <w:p w14:paraId="7F8C5671">
            <w:pPr>
              <w:widowControl/>
              <w:shd w:val="clear" w:color="auto" w:fill="FFFFFF"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14:paraId="654E8664">
            <w:pPr>
              <w:widowControl/>
              <w:shd w:val="clear" w:color="auto" w:fill="FFFFFF"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实践能力与专业基础 (25分)</w:t>
            </w:r>
          </w:p>
        </w:tc>
        <w:tc>
          <w:tcPr>
            <w:tcW w:w="3402" w:type="dxa"/>
            <w:vAlign w:val="center"/>
          </w:tcPr>
          <w:p w14:paraId="1CC7E761">
            <w:pPr>
              <w:widowControl/>
              <w:shd w:val="clear" w:color="auto" w:fill="FFFFFF"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学科基础与学习能力（10分）</w:t>
            </w:r>
          </w:p>
        </w:tc>
        <w:tc>
          <w:tcPr>
            <w:tcW w:w="7230" w:type="dxa"/>
            <w:vAlign w:val="center"/>
          </w:tcPr>
          <w:p w14:paraId="276C3821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参考高考成绩（物理科目）及已修读相关课程的理解程度，评估其学习潜力和知识迁移能力</w:t>
            </w:r>
          </w:p>
        </w:tc>
        <w:tc>
          <w:tcPr>
            <w:tcW w:w="1166" w:type="dxa"/>
          </w:tcPr>
          <w:p w14:paraId="1B9241D9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69EC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17" w:type="dxa"/>
            <w:vMerge w:val="continue"/>
            <w:vAlign w:val="center"/>
          </w:tcPr>
          <w:p w14:paraId="1C7FB082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</w:tcPr>
          <w:p w14:paraId="04A60BBA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C0E513E">
            <w:pPr>
              <w:widowControl/>
              <w:shd w:val="clear" w:color="auto" w:fill="FFFFFF"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动手能力与项目经验（15分）</w:t>
            </w:r>
          </w:p>
        </w:tc>
        <w:tc>
          <w:tcPr>
            <w:tcW w:w="7230" w:type="dxa"/>
            <w:vAlign w:val="center"/>
          </w:tcPr>
          <w:p w14:paraId="2B718547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考察学生是否参与过科创项目、竞赛、科研实践或课外创新活动，关注其在过程中的角色、贡献及收获</w:t>
            </w:r>
          </w:p>
        </w:tc>
        <w:tc>
          <w:tcPr>
            <w:tcW w:w="1166" w:type="dxa"/>
          </w:tcPr>
          <w:p w14:paraId="2A0611EA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1BD21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17" w:type="dxa"/>
            <w:vMerge w:val="restart"/>
            <w:vAlign w:val="center"/>
          </w:tcPr>
          <w:p w14:paraId="2E354DF1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1EA9D73A">
            <w:pPr>
              <w:widowControl/>
              <w:shd w:val="clear" w:color="auto" w:fill="FFFFFF"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团队协作与领导潜力 (15分)</w:t>
            </w:r>
          </w:p>
          <w:p w14:paraId="76705DED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0E6A1DF">
            <w:pPr>
              <w:widowControl/>
              <w:shd w:val="clear" w:color="auto" w:fill="FFFFFF"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团队意识与协作精神（10分）：</w:t>
            </w:r>
          </w:p>
        </w:tc>
        <w:tc>
          <w:tcPr>
            <w:tcW w:w="7230" w:type="dxa"/>
            <w:vAlign w:val="center"/>
          </w:tcPr>
          <w:p w14:paraId="1C6AE46F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通过情景模拟或基于其过往团队经历的问询，评估其倾听、尊重他人观点、有效合作的能力</w:t>
            </w:r>
          </w:p>
        </w:tc>
        <w:tc>
          <w:tcPr>
            <w:tcW w:w="1166" w:type="dxa"/>
          </w:tcPr>
          <w:p w14:paraId="6A2E0217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2A51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7" w:type="dxa"/>
            <w:vMerge w:val="continue"/>
            <w:vAlign w:val="center"/>
          </w:tcPr>
          <w:p w14:paraId="445FD124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</w:tcPr>
          <w:p w14:paraId="0F8347D0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601A152">
            <w:pPr>
              <w:widowControl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领导力潜质（5分）：</w:t>
            </w:r>
          </w:p>
        </w:tc>
        <w:tc>
          <w:tcPr>
            <w:tcW w:w="7230" w:type="dxa"/>
            <w:vAlign w:val="center"/>
          </w:tcPr>
          <w:p w14:paraId="4263F2DF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考察学生在团队活动中组织、协调或推动项目进展的潜在能力</w:t>
            </w:r>
          </w:p>
        </w:tc>
        <w:tc>
          <w:tcPr>
            <w:tcW w:w="1166" w:type="dxa"/>
          </w:tcPr>
          <w:p w14:paraId="40270217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1B4D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7" w:type="dxa"/>
            <w:vMerge w:val="restart"/>
            <w:vAlign w:val="center"/>
          </w:tcPr>
          <w:p w14:paraId="3493B260">
            <w:pPr>
              <w:widowControl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14:paraId="74638C6D">
            <w:pPr>
              <w:widowControl/>
              <w:shd w:val="clear" w:color="auto" w:fill="FFFFFF"/>
              <w:jc w:val="center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创业意识与产业思维 (10分)</w:t>
            </w:r>
          </w:p>
        </w:tc>
        <w:tc>
          <w:tcPr>
            <w:tcW w:w="3402" w:type="dxa"/>
            <w:vAlign w:val="center"/>
          </w:tcPr>
          <w:p w14:paraId="5BBD6634">
            <w:pPr>
              <w:widowControl/>
              <w:shd w:val="clear" w:color="auto" w:fill="FFFFFF"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创业意愿与市场敏感度（5分）</w:t>
            </w:r>
          </w:p>
        </w:tc>
        <w:tc>
          <w:tcPr>
            <w:tcW w:w="7230" w:type="dxa"/>
            <w:vAlign w:val="center"/>
          </w:tcPr>
          <w:p w14:paraId="4DECB9F0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了解学生对技术创新与市场需求结合的认识，对成果转化、创业价值的看法</w:t>
            </w:r>
          </w:p>
        </w:tc>
        <w:tc>
          <w:tcPr>
            <w:tcW w:w="1166" w:type="dxa"/>
          </w:tcPr>
          <w:p w14:paraId="51A03A14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  <w:tr w14:paraId="2B13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17" w:type="dxa"/>
            <w:vMerge w:val="continue"/>
          </w:tcPr>
          <w:p w14:paraId="575A1D3B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</w:tcPr>
          <w:p w14:paraId="227D6629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6C030AE">
            <w:pPr>
              <w:widowControl/>
              <w:shd w:val="clear" w:color="auto" w:fill="FFFFFF"/>
              <w:jc w:val="left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成本与项目管理初步认知（5分）</w:t>
            </w:r>
          </w:p>
        </w:tc>
        <w:tc>
          <w:tcPr>
            <w:tcW w:w="7230" w:type="dxa"/>
            <w:vAlign w:val="center"/>
          </w:tcPr>
          <w:p w14:paraId="7C5E2FBC">
            <w:pPr>
              <w:widowControl/>
              <w:shd w:val="clear" w:color="auto" w:fill="FFFFFF"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  <w:r>
              <w:rPr>
                <w:rFonts w:hint="eastAsia" w:ascii="方正仿宋_GBK" w:hAnsi="Segoe UI" w:eastAsia="方正仿宋_GBK" w:cs="Segoe UI"/>
                <w:bCs/>
                <w:spacing w:val="-2"/>
                <w:kern w:val="36"/>
                <w:szCs w:val="28"/>
              </w:rPr>
              <w:t>评估学生对项目可行性、资源约束、成本效益等产业基本要素的初步理解</w:t>
            </w:r>
          </w:p>
        </w:tc>
        <w:tc>
          <w:tcPr>
            <w:tcW w:w="1166" w:type="dxa"/>
          </w:tcPr>
          <w:p w14:paraId="4981BDB3">
            <w:pPr>
              <w:widowControl/>
              <w:textAlignment w:val="baseline"/>
              <w:outlineLvl w:val="0"/>
              <w:rPr>
                <w:rFonts w:ascii="方正仿宋_GBK" w:hAnsi="Segoe UI" w:eastAsia="方正仿宋_GBK" w:cs="Segoe UI"/>
                <w:bCs/>
                <w:spacing w:val="-2"/>
                <w:kern w:val="36"/>
                <w:szCs w:val="28"/>
              </w:rPr>
            </w:pPr>
          </w:p>
        </w:tc>
      </w:tr>
    </w:tbl>
    <w:p w14:paraId="4C0FBF5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7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2025-11-25T00:25:05Z</dcterms:created>
  <dc:creator>hp</dc:creator>
  <cp:lastModifiedBy>hp</cp:lastModifiedBy>
  <dcterms:modified xsi:type="dcterms:W3CDTF">2025-11-25T00:26:21Z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eyJoZGlkIjoiYTYxMTlhN2U1MTEyMTA3YmNiMWU2NzgwMjk0Njg4YzEiLCJ1c2VySWQiOiI1MTQ5MTEwNDEifQ==</vt:lpwstr>
  </property>
  <property fmtid="{D5CDD505-2E9C-101B-9397-08002B2CF9AE}" pid="4" name="ICV">
    <vt:lpwstr>B348ADE52E3A489481A962CDBBC3FBD0_12</vt:lpwstr>
  </property>
</Properties>
</file>